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8062A" w14:textId="77777777" w:rsidR="00F15000" w:rsidRDefault="002F42F2">
      <w:pPr>
        <w:rPr>
          <w:sz w:val="34"/>
          <w:szCs w:val="34"/>
        </w:rPr>
      </w:pPr>
      <w:bookmarkStart w:id="0" w:name="_GoBack"/>
      <w:bookmarkEnd w:id="0"/>
      <w:r>
        <w:rPr>
          <w:sz w:val="34"/>
          <w:szCs w:val="34"/>
        </w:rPr>
        <w:t>Managing Change in Public Institutions - Part II</w:t>
      </w:r>
    </w:p>
    <w:p w14:paraId="5BC151D2" w14:textId="77777777" w:rsidR="00F15000" w:rsidRDefault="002F42F2">
      <w:pPr>
        <w:numPr>
          <w:ilvl w:val="0"/>
          <w:numId w:val="1"/>
        </w:numPr>
        <w:rPr>
          <w:sz w:val="24"/>
          <w:szCs w:val="24"/>
        </w:rPr>
      </w:pPr>
      <w:r>
        <w:rPr>
          <w:sz w:val="24"/>
          <w:szCs w:val="24"/>
        </w:rPr>
        <w:t>Sam M. Al Maleh and Rachel Simmons</w:t>
      </w:r>
    </w:p>
    <w:p w14:paraId="226CD9F4" w14:textId="77777777" w:rsidR="00F15000" w:rsidRDefault="002F42F2">
      <w:pPr>
        <w:rPr>
          <w:sz w:val="24"/>
          <w:szCs w:val="24"/>
        </w:rPr>
      </w:pPr>
      <w:r>
        <w:rPr>
          <w:sz w:val="24"/>
          <w:szCs w:val="24"/>
        </w:rPr>
        <w:t xml:space="preserve">In </w:t>
      </w:r>
      <w:hyperlink r:id="rId8">
        <w:r>
          <w:rPr>
            <w:color w:val="1155CC"/>
            <w:sz w:val="24"/>
            <w:szCs w:val="24"/>
            <w:u w:val="single"/>
          </w:rPr>
          <w:t>the first of this three-part editorial</w:t>
        </w:r>
      </w:hyperlink>
      <w:r>
        <w:rPr>
          <w:sz w:val="24"/>
          <w:szCs w:val="24"/>
        </w:rPr>
        <w:t xml:space="preserve">, we observe the </w:t>
      </w:r>
      <w:r>
        <w:rPr>
          <w:sz w:val="24"/>
          <w:szCs w:val="24"/>
          <w:u w:val="single"/>
        </w:rPr>
        <w:t>operational</w:t>
      </w:r>
      <w:r>
        <w:rPr>
          <w:sz w:val="24"/>
          <w:szCs w:val="24"/>
        </w:rPr>
        <w:t xml:space="preserve"> differences between projects run by public organizations, contrasted to private firms.</w:t>
      </w:r>
    </w:p>
    <w:p w14:paraId="44F2385D" w14:textId="77777777" w:rsidR="00F15000" w:rsidRDefault="002F42F2">
      <w:pPr>
        <w:rPr>
          <w:sz w:val="24"/>
          <w:szCs w:val="24"/>
        </w:rPr>
      </w:pPr>
      <w:r>
        <w:rPr>
          <w:sz w:val="24"/>
          <w:szCs w:val="24"/>
        </w:rPr>
        <w:t>It is understandable that the different working cultures of private and public institutions would diverge the way they have. There is the tradeoff between budgets, timelines, and stakeholder buy-in. Moreover, while private firms tend to adjust their strategies based on their financial viability, public organizations rarely do, instead leaning on the status quo as much as possible. Each side developed its working culture with these constraints in mind. While it is tempting to leave well enough alone, merging the benefits of each working culture, as described previously, can help public and private entities alike in fostering growth and innovation.</w:t>
      </w:r>
    </w:p>
    <w:p w14:paraId="1B690FA5" w14:textId="77777777" w:rsidR="00F15000" w:rsidRDefault="002F42F2">
      <w:pPr>
        <w:rPr>
          <w:sz w:val="24"/>
          <w:szCs w:val="24"/>
        </w:rPr>
      </w:pPr>
      <w:r>
        <w:rPr>
          <w:sz w:val="24"/>
          <w:szCs w:val="24"/>
        </w:rPr>
        <w:t xml:space="preserve">At the intersection of these approaches is the pilot project, in which a dedicated team develops a small-scale prototype or proof of concept. The pilot project has a limited scope, with testing revealing early on possible changes that need to be made. Starting small means buy-in from outside parties is easier, and stakeholders within the organization more willing to support it. This also makes it less challenging to implement in the first place, and only uses a small fraction of the resources of the full implementation. </w:t>
      </w:r>
    </w:p>
    <w:p w14:paraId="2889E7D6" w14:textId="77777777" w:rsidR="00F15000" w:rsidRDefault="002F42F2">
      <w:pPr>
        <w:rPr>
          <w:sz w:val="24"/>
          <w:szCs w:val="24"/>
        </w:rPr>
      </w:pPr>
      <w:r>
        <w:rPr>
          <w:sz w:val="24"/>
          <w:szCs w:val="24"/>
        </w:rPr>
        <w:t xml:space="preserve">The successes and failures of the pilot dictate whether or how it can be developed further into a larger-scale endeavor, catering to a more diverse audience, as is usually the goal of public institutions . It is not surprising if this seems familiar to project managers trained in agile, as having a working prototype that can be built incrementally is well aligned with this method. Feedback makes updates and upgrades easier to implement, and the team is able to customize future iterations depending on which market, features, or stakeholders they want to target. </w:t>
      </w:r>
    </w:p>
    <w:p w14:paraId="4D8FCDBD" w14:textId="77777777" w:rsidR="00F15000" w:rsidRDefault="002F42F2">
      <w:pPr>
        <w:rPr>
          <w:sz w:val="24"/>
          <w:szCs w:val="24"/>
        </w:rPr>
      </w:pPr>
      <w:r>
        <w:rPr>
          <w:sz w:val="24"/>
          <w:szCs w:val="24"/>
        </w:rPr>
        <w:t>The danger of the pilot, however, is in making that critical jump between proof-of-concept and widespread implementation. Here, we address three recommendations to ensure your pilot project does not become a one-off initiative that eventually dies out.</w:t>
      </w:r>
    </w:p>
    <w:p w14:paraId="20D4B310" w14:textId="77777777" w:rsidR="00F15000" w:rsidRDefault="002F42F2">
      <w:pPr>
        <w:rPr>
          <w:b/>
          <w:sz w:val="24"/>
          <w:szCs w:val="24"/>
        </w:rPr>
      </w:pPr>
      <w:r>
        <w:rPr>
          <w:b/>
          <w:sz w:val="24"/>
          <w:szCs w:val="24"/>
        </w:rPr>
        <w:t>Target low-hanging fruit</w:t>
      </w:r>
    </w:p>
    <w:p w14:paraId="1AE639C4" w14:textId="77777777" w:rsidR="00F15000" w:rsidRDefault="002F42F2">
      <w:pPr>
        <w:rPr>
          <w:sz w:val="24"/>
          <w:szCs w:val="24"/>
        </w:rPr>
      </w:pPr>
      <w:r>
        <w:rPr>
          <w:sz w:val="24"/>
          <w:szCs w:val="24"/>
        </w:rPr>
        <w:t>Instead of tackling the hardest, most insurmountable aspect first, build momentum and energy by beginning with small victories. Start by ranking your problem areas from the easiest to the most difficult to solve. This also makes it less challenging to implement, using a small fraction of the resources of the complete solution.</w:t>
      </w:r>
    </w:p>
    <w:p w14:paraId="0D42DC96" w14:textId="77777777" w:rsidR="00F15000" w:rsidRDefault="002F42F2">
      <w:pPr>
        <w:rPr>
          <w:sz w:val="24"/>
          <w:szCs w:val="24"/>
        </w:rPr>
      </w:pPr>
      <w:r>
        <w:rPr>
          <w:sz w:val="24"/>
          <w:szCs w:val="24"/>
        </w:rPr>
        <w:t>At the same time, consider which stakeholders are more reluctant to adopt change. Then plan your pilot to address the easiest issue, with the stakeholders most amenable to innovation. In doing so, you solve problems incrementally, and build support by incorporating the more cooperative stakeholders as allies for the next stage.</w:t>
      </w:r>
    </w:p>
    <w:p w14:paraId="59152BCD" w14:textId="77777777" w:rsidR="00F15000" w:rsidRDefault="002F42F2">
      <w:pPr>
        <w:rPr>
          <w:b/>
          <w:sz w:val="24"/>
          <w:szCs w:val="24"/>
        </w:rPr>
      </w:pPr>
      <w:r>
        <w:rPr>
          <w:b/>
          <w:sz w:val="24"/>
          <w:szCs w:val="24"/>
        </w:rPr>
        <w:lastRenderedPageBreak/>
        <w:t>Learn from successes as well as failures</w:t>
      </w:r>
    </w:p>
    <w:p w14:paraId="1C3E31FD" w14:textId="77777777" w:rsidR="00F15000" w:rsidRDefault="002F42F2">
      <w:pPr>
        <w:rPr>
          <w:sz w:val="24"/>
          <w:szCs w:val="24"/>
        </w:rPr>
      </w:pPr>
      <w:r>
        <w:rPr>
          <w:sz w:val="24"/>
          <w:szCs w:val="24"/>
        </w:rPr>
        <w:t>When you hear lessons learned, you are likely to imagine a laundry list of everything that went wrong and how to best avoid it in future projects. However, understanding the factors that led to success is equally important. There is a tendency to take factors of success for granted, whereas they are an important area of focus to replicate. If you ask yourself what went right, and what made progress easier in the pilot, the next phase of scaling up can include these factors, and be better positioned for success. This practice also encourages the team working on the project, a phenomenon known as appreciative inquiry [1]. Bear in mind that identifying factors of success is the reason the next, more difficult phase, becomes manageable.</w:t>
      </w:r>
    </w:p>
    <w:p w14:paraId="19107A93" w14:textId="77777777" w:rsidR="00F15000" w:rsidRDefault="002F42F2">
      <w:pPr>
        <w:rPr>
          <w:b/>
          <w:sz w:val="24"/>
          <w:szCs w:val="24"/>
        </w:rPr>
      </w:pPr>
      <w:r>
        <w:rPr>
          <w:b/>
          <w:sz w:val="24"/>
          <w:szCs w:val="24"/>
        </w:rPr>
        <w:t>Plan for scaling up from the start</w:t>
      </w:r>
    </w:p>
    <w:p w14:paraId="283B0DB4" w14:textId="77777777" w:rsidR="00F15000" w:rsidRDefault="002F42F2">
      <w:pPr>
        <w:rPr>
          <w:sz w:val="24"/>
          <w:szCs w:val="24"/>
        </w:rPr>
      </w:pPr>
      <w:r>
        <w:rPr>
          <w:sz w:val="24"/>
          <w:szCs w:val="24"/>
        </w:rPr>
        <w:t xml:space="preserve">Many pilots are dead in the water because they do not have a proper scale-up plan [2]. If you began the planning process by ranking your problems and stakeholders, you already have a skeleton plan for scaling-up. Testing is important here, since the results will dictate whether you are ready to graduate to the next phase of the pilot. The ranking of issues and stakeholders may change as the project progresses, so it is essential to make sure there is some room for adjustment in this plan. </w:t>
      </w:r>
    </w:p>
    <w:p w14:paraId="7C8983FC" w14:textId="77777777" w:rsidR="00F15000" w:rsidRDefault="002F42F2">
      <w:pPr>
        <w:pBdr>
          <w:top w:val="nil"/>
          <w:left w:val="nil"/>
          <w:bottom w:val="nil"/>
          <w:right w:val="nil"/>
          <w:between w:val="nil"/>
        </w:pBdr>
        <w:rPr>
          <w:sz w:val="24"/>
          <w:szCs w:val="24"/>
        </w:rPr>
      </w:pPr>
      <w:r>
        <w:rPr>
          <w:sz w:val="24"/>
          <w:szCs w:val="24"/>
        </w:rPr>
        <w:t xml:space="preserve">By implementing a pilot framework of this kind, you are able to marry the mindsets of both public institutions and private firms: stakeholder engagement and risk assessment as implemented by public institutions, and the easy mobilization of resources and personnel as done in private industries. You will also find that, with time, the team working on the pilot and its development grows together with the projects. Pilot scaling offers a chance for the team itself to work on communication and other skills internally, as the problems they face get more and more complex and challenging. </w:t>
      </w:r>
    </w:p>
    <w:p w14:paraId="42995355" w14:textId="77777777" w:rsidR="00F15000" w:rsidRDefault="002F42F2">
      <w:pPr>
        <w:pBdr>
          <w:top w:val="nil"/>
          <w:left w:val="nil"/>
          <w:bottom w:val="nil"/>
          <w:right w:val="nil"/>
          <w:between w:val="nil"/>
        </w:pBdr>
        <w:rPr>
          <w:sz w:val="24"/>
          <w:szCs w:val="24"/>
        </w:rPr>
      </w:pPr>
      <w:r>
        <w:rPr>
          <w:sz w:val="24"/>
          <w:szCs w:val="24"/>
        </w:rPr>
        <w:t>This is the second of a three-part editorial. In the next part we will examine change at an organizational level: what drives change in public institutions and companies alike, and how project managers can help create an environment where innovation can thrive.</w:t>
      </w:r>
    </w:p>
    <w:p w14:paraId="0F1EB63A" w14:textId="77777777" w:rsidR="00F15000" w:rsidRDefault="002F42F2">
      <w:pPr>
        <w:rPr>
          <w:sz w:val="24"/>
          <w:szCs w:val="24"/>
        </w:rPr>
      </w:pPr>
      <w:r>
        <w:rPr>
          <w:sz w:val="24"/>
          <w:szCs w:val="24"/>
        </w:rPr>
        <w:t>[1] Juliette Tocino-Smith, How to Apply Appreciative Inquiry, Positive Psychology, September 2020</w:t>
      </w:r>
    </w:p>
    <w:p w14:paraId="28419A73" w14:textId="77777777" w:rsidR="00F15000" w:rsidRDefault="002F42F2">
      <w:pPr>
        <w:rPr>
          <w:sz w:val="24"/>
          <w:szCs w:val="24"/>
        </w:rPr>
      </w:pPr>
      <w:r>
        <w:rPr>
          <w:sz w:val="24"/>
          <w:szCs w:val="24"/>
        </w:rPr>
        <w:t>[2] Ruth Simmons, Peter Fajans, Laura Ghiron, Scaling up Health Service Delivery, World Health Organization Library, 2007</w:t>
      </w:r>
    </w:p>
    <w:p w14:paraId="6D8A9131" w14:textId="448D2EA5" w:rsidR="00F15000" w:rsidRPr="002F42F2" w:rsidRDefault="002F42F2" w:rsidP="002F42F2">
      <w:pPr>
        <w:rPr>
          <w:sz w:val="24"/>
          <w:szCs w:val="24"/>
        </w:rPr>
      </w:pPr>
      <w:r>
        <w:rPr>
          <w:sz w:val="24"/>
          <w:szCs w:val="24"/>
        </w:rPr>
        <w:t>[3] The Role of Pilots in Policy-Making, United Kingdom Government Social Research Office, Roger Dowell, December 2003</w:t>
      </w:r>
    </w:p>
    <w:sectPr w:rsidR="00F15000" w:rsidRPr="002F42F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E6572" w14:textId="77777777" w:rsidR="00992ADF" w:rsidRDefault="00992ADF" w:rsidP="00992ADF">
      <w:pPr>
        <w:spacing w:after="0" w:line="240" w:lineRule="auto"/>
      </w:pPr>
      <w:r>
        <w:separator/>
      </w:r>
    </w:p>
  </w:endnote>
  <w:endnote w:type="continuationSeparator" w:id="0">
    <w:p w14:paraId="7CAD9E44" w14:textId="77777777" w:rsidR="00992ADF" w:rsidRDefault="00992ADF" w:rsidP="0099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55CC0" w14:textId="77777777" w:rsidR="00992ADF" w:rsidRDefault="00992ADF" w:rsidP="00992ADF">
      <w:pPr>
        <w:spacing w:after="0" w:line="240" w:lineRule="auto"/>
      </w:pPr>
      <w:r>
        <w:separator/>
      </w:r>
    </w:p>
  </w:footnote>
  <w:footnote w:type="continuationSeparator" w:id="0">
    <w:p w14:paraId="6B13C5D3" w14:textId="77777777" w:rsidR="00992ADF" w:rsidRDefault="00992ADF" w:rsidP="00992A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DB2721"/>
    <w:multiLevelType w:val="multilevel"/>
    <w:tmpl w:val="8E060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00"/>
    <w:rsid w:val="002F42F2"/>
    <w:rsid w:val="00992ADF"/>
    <w:rsid w:val="00F1500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D6955"/>
  <w15:docId w15:val="{BB32D753-586D-45A9-9705-273C29B5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AC4BF1"/>
    <w:rPr>
      <w:sz w:val="16"/>
      <w:szCs w:val="16"/>
    </w:rPr>
  </w:style>
  <w:style w:type="paragraph" w:styleId="CommentText">
    <w:name w:val="annotation text"/>
    <w:basedOn w:val="Normal"/>
    <w:link w:val="CommentTextChar"/>
    <w:uiPriority w:val="99"/>
    <w:semiHidden/>
    <w:unhideWhenUsed/>
    <w:rsid w:val="00AC4BF1"/>
    <w:pPr>
      <w:spacing w:line="240" w:lineRule="auto"/>
    </w:pPr>
    <w:rPr>
      <w:sz w:val="20"/>
      <w:szCs w:val="20"/>
    </w:rPr>
  </w:style>
  <w:style w:type="character" w:customStyle="1" w:styleId="CommentTextChar">
    <w:name w:val="Comment Text Char"/>
    <w:basedOn w:val="DefaultParagraphFont"/>
    <w:link w:val="CommentText"/>
    <w:uiPriority w:val="99"/>
    <w:semiHidden/>
    <w:rsid w:val="00AC4BF1"/>
    <w:rPr>
      <w:sz w:val="20"/>
      <w:szCs w:val="20"/>
    </w:rPr>
  </w:style>
  <w:style w:type="paragraph" w:styleId="CommentSubject">
    <w:name w:val="annotation subject"/>
    <w:basedOn w:val="CommentText"/>
    <w:next w:val="CommentText"/>
    <w:link w:val="CommentSubjectChar"/>
    <w:uiPriority w:val="99"/>
    <w:semiHidden/>
    <w:unhideWhenUsed/>
    <w:rsid w:val="00AC4BF1"/>
    <w:rPr>
      <w:b/>
      <w:bCs/>
    </w:rPr>
  </w:style>
  <w:style w:type="character" w:customStyle="1" w:styleId="CommentSubjectChar">
    <w:name w:val="Comment Subject Char"/>
    <w:basedOn w:val="CommentTextChar"/>
    <w:link w:val="CommentSubject"/>
    <w:uiPriority w:val="99"/>
    <w:semiHidden/>
    <w:rsid w:val="00AC4BF1"/>
    <w:rPr>
      <w:b/>
      <w:bCs/>
      <w:sz w:val="20"/>
      <w:szCs w:val="20"/>
    </w:rPr>
  </w:style>
  <w:style w:type="paragraph" w:styleId="BalloonText">
    <w:name w:val="Balloon Text"/>
    <w:basedOn w:val="Normal"/>
    <w:link w:val="BalloonTextChar"/>
    <w:uiPriority w:val="99"/>
    <w:semiHidden/>
    <w:unhideWhenUsed/>
    <w:rsid w:val="00AC4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BF1"/>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uiPriority w:val="35"/>
    <w:unhideWhenUsed/>
    <w:qFormat/>
    <w:rsid w:val="00CD040F"/>
    <w:pPr>
      <w:spacing w:after="200" w:line="240" w:lineRule="auto"/>
    </w:pPr>
    <w:rPr>
      <w:i/>
      <w:iCs/>
      <w:color w:val="44546A" w:themeColor="text2"/>
      <w:sz w:val="18"/>
      <w:szCs w:val="18"/>
    </w:rPr>
  </w:style>
  <w:style w:type="character" w:styleId="Hyperlink">
    <w:name w:val="Hyperlink"/>
    <w:basedOn w:val="DefaultParagraphFont"/>
    <w:uiPriority w:val="99"/>
    <w:unhideWhenUsed/>
    <w:rsid w:val="00CD040F"/>
    <w:rPr>
      <w:color w:val="0563C1" w:themeColor="hyperlink"/>
      <w:u w:val="single"/>
    </w:rPr>
  </w:style>
  <w:style w:type="character" w:customStyle="1" w:styleId="UnresolvedMention">
    <w:name w:val="Unresolved Mention"/>
    <w:basedOn w:val="DefaultParagraphFont"/>
    <w:uiPriority w:val="99"/>
    <w:semiHidden/>
    <w:unhideWhenUsed/>
    <w:rsid w:val="00CD0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icic.starchapter.com/images/blog/Managing_Change_in_Public_Institutions__part_1_.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KYAcgJ8VAfU+61VbODuI+SMALw==">AMUW2mWDQbAgCDQHmmo5Olb0qvCllDcbfkti2sM0pN5ggvtv33AbTFb0cEyqXzJbd00DJnwTNl88gNrDUb5TB3mzvOC4lMpZMkRHYlL3U4G0DJqYf5+etmUL3rkF5cTq//UWNzTHU3/QDWOej4cwc1ydRa8PiOLZsJUCApeNyvsjIP9YU35DzLURXZRK7YNlFkJbcEJr1Rl4YA1Joe0rcq4a34jV9vnHEe1N2Knmk6lCC3r/kO4V8LALydXTgpi1P72JfqyM69heHKnvzgamSL/tQTPKj/bTt/Rawi6dJYXoTeQcKoNCKeN7kjQr7X4i5Gd0wSc9gXOrYi9lD7TqT99w8fAYuRSB0udk16338xeqpbm5BPcpo3hj435rzMngAqkFcvwOLu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Change in Public Institutions - Part II</dc:title>
  <dc:creator>H M</dc:creator>
  <cp:lastModifiedBy>Ingrid Holliday</cp:lastModifiedBy>
  <cp:revision>2</cp:revision>
  <dcterms:created xsi:type="dcterms:W3CDTF">2020-12-07T21:25:00Z</dcterms:created>
  <dcterms:modified xsi:type="dcterms:W3CDTF">2020-12-07T21:25:00Z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2020-12-07T21:24:19Z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bff23c35-e86d-41ae-a889-afc6f1e4207f</vt:lpwstr>
  </property>
  <property fmtid="{D5CDD505-2E9C-101B-9397-08002B2CF9AE}" pid="8" name="MSIP_Label_261ecbe3-7ba9-4124-b9d7-ffd820687beb_ContentBits">
    <vt:lpwstr>0</vt:lpwstr>
  </property>
</Properties>
</file>